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51</w:t>
      </w:r>
    </w:p>
    <w:p>
      <w:r>
        <w:t>Bundesgericht (BGE), 1970-06-05, FR</w:t>
      </w:r>
    </w:p>
    <w:p>
      <w:r>
        <w:rPr>
          <w:b/>
        </w:rPr>
        <w:t xml:space="preserve">Quelle: </w:t>
      </w:r>
      <w:r>
        <w:t>https://mcp.opencaselaw.ch/entscheid/bge_96 III 51</w:t>
      </w:r>
    </w:p>
    <w:p>
      <w:r>
        <w:t>FR: ATF 96 III 51</w:t>
      </w:r>
    </w:p>
    <w:p>
      <w:r>
        <w:t>IT: DTF 96 III 51</w:t>
      </w:r>
    </w:p>
    <w:p>
      <w:pPr>
        <w:pStyle w:val="Heading2"/>
      </w:pPr>
      <w:r>
        <w:t>Regeste</w:t>
      </w:r>
    </w:p>
    <w:p>
      <w:r>
        <w:t>Regeste Abzahlungsvertrag mit Eigentumsvorbehalt. Art. 226 a ff. OR, Art. 715 ZGB, Art. 4 Abs. 4 der VO betr. die Eintragung der Eigentumsvorbehalte. 1. Der Verkauf eines Mähdreschers bezieht sich auf einen Gegenstand, der nach seiner Beschaffenheit für einen Gewerbebetrieb (vgl. Art. 226 m Abs. 4 OR), nämlich für einen Landwirtschaftsbetrieb bestimmt ist (E. 2). 2. Prüfungsbefugnis des Betreibungsamtes und der Aufsichtsbehörden bezüglich der Gültigkeit eines Eigentumsvorbehalts, der in den auf der Rückseite eines Bestellscheins stehenden Verkaufsbedingungen vorgesehen ist (E. 3 und 4).</w:t>
      </w:r>
    </w:p>
    <w:p>
      <w:pPr>
        <w:pStyle w:val="Heading2"/>
      </w:pPr>
      <w:r>
        <w:t>Erwägungen</w:t>
      </w:r>
    </w:p>
    <w:p>
      <w:r>
        <w:rPr>
          <w:b/>
        </w:rPr>
        <w:t>E. 1</w:t>
      </w:r>
    </w:p>
    <w:p>
      <w:r>
        <w:t>Contrairement à l'opinion de la recourante, il ne s'agit pas en l'espèce d'un déni de justice au sens de l'art. 19 al. 2 LP. L'office a statué sur la réquisition de la maison Hartmann, qu'il a rejetée. L'autorité cantonale a fait de même pour la plainte. Sa décision est déférée au Tribunal fédéral par un recours pour violation de la loi (art. 19 al. 1 LP). La décision attaquée a été communiquée au mandataire de la recourante le 13 mai 1970, soit pendant les féries de la Pentecôte (art. 56 ch. 3 LP). Le délai de recours de dix jours n'a commencé de courir que le premier jour utile suivant les féries, soit le lundi 25 mai 1970 (RO 82 III 52, consid. 1). Expédié sous pli mis à la poste le 27 mai, le recours a été interjeté en temps utile. Peu importe qu'il ait été adressé directement au Tribunal fédéral au lieu de l'autorité cantonale (art. 78 al. 1 et 32 al. 3, dernière phrase, OJ).</w:t>
      </w:r>
    </w:p>
    <w:p>
      <w:r>
        <w:rPr>
          <w:b/>
        </w:rPr>
        <w:t>E. 2</w:t>
      </w:r>
    </w:p>
    <w:p>
      <w:r>
        <w:t>Le préposé a rejeté la réquisition d'inscription du pacte de réserve de propriété en invoquant les dispositions de l'art. 226 a al. 2 ch. 4, 5, 8, 9 CO, ainsi que la disposition de l'art. 226 a BGE 96 III 51 S. 54 al. 1 CO. En effet, le contrat de vente du 4 mars 1969 n'indique pas le supplément de prix résultant du paiement par acomptes (art. 226 a al. 2 ch. 4 CO), ni le prix de vente global (ch. 5), ni le droit de l'acheteur de renoncer à sa conclusion dans le délai de cinq jours (ch. 8). Le défaut de ces énonciations entraîne en principe la nullité de la convention (art. 226 al. 3 CO). Les parties n'ont pas non plus prévu l'obligation pour l'acheteur d'effectuer au plus tard au moment de la livraison un versement initial minimum d'un cinquième du prix de vente au comptant et d'acquitter le solde dans un délai de deux ans et demi dès la conclusion du contrat (art. 226 d al. 1 CO). La recourante estime que ces dispositions légales ne sont pas applicables en l'espèce, vu l'art. 226 m al. 4 CO. Elle a raison. D'une part, le prix de vente global est payable en moins de quatre acomptes. D'autre part, la vente porte sur une moissonneuse-batteuse. Par sa nature, cette machine est destinée à une exploitation agricole, c'est-à-dire à une entreprise artisanale ou industrielle au sens de la disposition légale précitée (STOFER, Kommentar zum schweizerischen Bundesgesetz über den Abzahlungs- und Vorauszahlungsvertrag, p. 134). Dès lors, seuls les art. 226 h al. 2, 226 i al. 1 et 226 k CO sont applicables. Ces dispositions ne font pas obstacle à l'inscription de la réserve de propriété.</w:t>
      </w:r>
    </w:p>
    <w:p>
      <w:r>
        <w:rPr>
          <w:b/>
        </w:rPr>
        <w:t>E. 3</w:t>
      </w:r>
    </w:p>
    <w:p>
      <w:r>
        <w:t>L'autorité cantonale affirme, comme le préposé, que le contrat du 4 mars 1969 ne renferme aucun pacte de réserve de propriété. Cette assertion n'est pas exacte. En effet, l'une des "conditions de vente" imprimées au verso du bulletin de commande précise que la marchandise vendue reste la propriété du vendeur jusqu'à complet paiement du prix. Certes, il est douteux que le pacte de réserve de propriété ait été conclu valablement. Les contractants, notamment les acheteurs, n'ont pas apposé leur signature au pied des conditions de vente figurant au verso, mais seulement au recto du bulletin de commande. Dans la rubrique "conditions", le vendeur a écrit "wie oben", sans que l'on sache si la référence vise les clauses imprimées au verso ou simplement les conditions propres à chaque vente, en l'espèce le montant et le nombre des acomptes, le rabais de 4% consenti, la garantie convenue pour un an, etc. En outre, on peut se demander si la clause des conditions générales de vente qui prévoit un pacte de réserve de propriété ne devrait pas être mise en évidence par des moyens appropriés ou signalée à BGE 96 III 51 S. 55 l'acheteur lors de la conclusion du contrat (cf. dans ce sens pour les clauses de prorogation de for RO 87 I 51 s., consid. 3). Il n'appartient cependant pas à l'office des poursuites, ni aux autorités de surveillance, mais au juge civil, de dire si le pacte de réserve de propriété a été valablement stipulé. Lorsque, comme en l'espèce, la question de droit matériel n'est pas résolue, la jurisprudence enjoint aux offices des poursuites de procéder à l'inscription, qui est nécessaire pour constituer la réserve de propriété (art. 715 CC), afin d'éviter la perte du droit du vendeur qu'entraînerait un refus. Mais cette inscription ne préjuge en aucune manière la décision des tribunaux civils quant à la validité du pacte de réserve de propriété (RO 47 III 20, 57 III 62, 89 III 32 et 57, 90 III 61, 91 III 37; HABERTHÜR, Die Verordnungen des Bundesgerichts zum Eigentumsvorbehaltsregister, BlSchK 1963 p. 129 ss., notamment p. 133 et 1964 p. 6 lettre c).</w:t>
      </w:r>
    </w:p>
    <w:p>
      <w:r>
        <w:rPr>
          <w:b/>
        </w:rPr>
        <w:t>E. 4</w:t>
      </w:r>
    </w:p>
    <w:p>
      <w:r>
        <w:t>Il est vrai que, selon l'art. 4 al. 4 OIPR, une réserve de propriété ne peut être inscrite sur une réquisition unilatérale que si le requérant produit une déclaration de l'autre partie constatant son accord sur toutes les données nécessaires pour procéder à l'inscription. Si les conditions essentielles fixées par cette ordonnance ne sont pas remplies, l'inscription doit être refusée (RO 39 I 153, 60 III 168; HABERTHÜR, loc.cit., 1964, p. 1). L'accord de l'autre partie peut résulter du contrat de vente lui-même (cf. le texte de l'art. 4 al. 4 OIPR et RO 39 I 155). Toutefois, dans l'arrêt publié au RO 84 III 46, la Chambre a rappelé que l'accord des parties doit porter en premier lieu sur la constitution même de la réserve de propriété et s'est demandé - sans résoudre la question - si cet accord était suffisamment établi par une clause imprimée du contrat de vente, peu lisible et insérée parmi de nombreuses autres conditions générales, qui risquait d'échapper à l'attention de l'acheteur. De ce point de vue également, la réserve de propriété pose des problèmes dont la solution est délicate et que l'office ne peut examiner que primafacie. La question est encore plus complexe depuis l'entrée en vigueur des nouvelles dispositions sur la vente par acomptes (art. 226 a ss. CO). Cependant, en règle générale, seule la nullité manifeste du pacte de réserve de propriété justifie le rejet de la réquisition (cf. RO 91 III 39, consid. 3). Or, en l'espèce, la validité de la déclaration de l'autre partie est peut-être discutable, mais elle ne saurait être niée d'emblée. BGE 96 III 51 S. 56 Dès lors, l'office doit être invité à procéder à l'inscription requise, qui produira ses effets sous réserve de la décision que le juge civil serait appelé à rendre quant au fond. Dispositiv Par ces motifs, la Chambre des poursuites et des faillites: Admet le recours, annule la décision attaquée et invite l'Office des poursuites de la Sarine à inscrire le pacte de réserve de propriété convenu dans le contrat de vente passé le 4 mars 1969 entre la maison A. C. Hartmann, à Bienne, et les époux Ernest et Marie Jutzet, à Praroman.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